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0B" w:rsidRDefault="00A0510B" w:rsidP="00D749AD">
      <w:pPr>
        <w:jc w:val="center"/>
        <w:rPr>
          <w:rFonts w:ascii="Century Gothic" w:hAnsi="Century Gothic"/>
          <w:b/>
          <w:color w:val="00B050"/>
          <w:sz w:val="40"/>
          <w:szCs w:val="40"/>
        </w:rPr>
      </w:pPr>
    </w:p>
    <w:p w:rsidR="00A0510B" w:rsidRDefault="00A0510B" w:rsidP="00D749AD">
      <w:pPr>
        <w:jc w:val="center"/>
        <w:rPr>
          <w:rFonts w:ascii="Century Gothic" w:hAnsi="Century Gothic"/>
          <w:b/>
          <w:color w:val="00B050"/>
          <w:sz w:val="40"/>
          <w:szCs w:val="40"/>
        </w:rPr>
      </w:pPr>
    </w:p>
    <w:p w:rsidR="00D749AD" w:rsidRDefault="00D749AD" w:rsidP="00D749AD">
      <w:pPr>
        <w:jc w:val="center"/>
        <w:rPr>
          <w:rFonts w:ascii="Century Gothic" w:hAnsi="Century Gothic"/>
          <w:b/>
          <w:color w:val="00B050"/>
          <w:sz w:val="40"/>
          <w:szCs w:val="40"/>
        </w:rPr>
      </w:pPr>
      <w:r>
        <w:rPr>
          <w:rFonts w:ascii="Century Gothic" w:hAnsi="Century Gothic"/>
          <w:b/>
          <w:color w:val="00B050"/>
          <w:sz w:val="40"/>
          <w:szCs w:val="40"/>
        </w:rPr>
        <w:t xml:space="preserve">Análisis textual para el desarrollo de competencia lectora </w:t>
      </w:r>
    </w:p>
    <w:p w:rsidR="00D749AD" w:rsidRDefault="00D749AD" w:rsidP="00D749AD">
      <w:pPr>
        <w:jc w:val="center"/>
        <w:rPr>
          <w:rFonts w:ascii="Century Gothic" w:hAnsi="Century Gothic"/>
          <w:b/>
          <w:color w:val="FF0000"/>
        </w:rPr>
      </w:pPr>
    </w:p>
    <w:p w:rsidR="00D749AD" w:rsidRDefault="00A80CFE" w:rsidP="00D749AD">
      <w:pPr>
        <w:jc w:val="center"/>
        <w:rPr>
          <w:rFonts w:ascii="Century Gothic" w:hAnsi="Century Gothic"/>
          <w:b/>
          <w:color w:val="0070C0"/>
        </w:rPr>
      </w:pPr>
      <w:r>
        <w:rPr>
          <w:noProof/>
        </w:rPr>
        <w:drawing>
          <wp:inline distT="0" distB="0" distL="0" distR="0">
            <wp:extent cx="2286000" cy="2381250"/>
            <wp:effectExtent l="19050" t="0" r="0" b="0"/>
            <wp:docPr id="1" name="Imagen 1" descr="https://encrypted-tbn2.gstatic.com/images?q=tbn:ANd9GcTTMwNXLCiUla6-BPP3t2Ko1bTxAAIAgxTxbepZ1i6yJYeWTn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TMwNXLCiUla6-BPP3t2Ko1bTxAAIAgxTxbepZ1i6yJYeWTnd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AD" w:rsidRDefault="00D749AD" w:rsidP="00D749AD">
      <w:pPr>
        <w:jc w:val="center"/>
        <w:rPr>
          <w:rFonts w:ascii="Century Gothic" w:hAnsi="Century Gothic"/>
          <w:b/>
          <w:color w:val="0070C0"/>
        </w:rPr>
      </w:pPr>
    </w:p>
    <w:p w:rsidR="00D749AD" w:rsidRDefault="00D749AD" w:rsidP="00D749AD">
      <w:pPr>
        <w:jc w:val="center"/>
        <w:rPr>
          <w:rFonts w:ascii="Century Gothic" w:hAnsi="Century Gothic"/>
          <w:b/>
          <w:color w:val="0070C0"/>
        </w:rPr>
      </w:pPr>
      <w:r>
        <w:rPr>
          <w:rFonts w:ascii="Century Gothic" w:hAnsi="Century Gothic"/>
          <w:b/>
          <w:color w:val="0070C0"/>
        </w:rPr>
        <w:t>Centro de maestros 1415</w:t>
      </w:r>
    </w:p>
    <w:p w:rsidR="00D749AD" w:rsidRDefault="00A0510B" w:rsidP="00D749AD">
      <w:pPr>
        <w:jc w:val="center"/>
        <w:rPr>
          <w:rFonts w:ascii="Century Gothic" w:hAnsi="Century Gothic"/>
          <w:b/>
          <w:color w:val="0070C0"/>
        </w:rPr>
      </w:pPr>
      <w:r>
        <w:rPr>
          <w:rFonts w:ascii="Century Gothic" w:hAnsi="Century Gothic"/>
          <w:b/>
          <w:color w:val="0070C0"/>
        </w:rPr>
        <w:t>Sesión 6: sábado 30</w:t>
      </w:r>
      <w:r w:rsidR="00D749AD">
        <w:rPr>
          <w:rFonts w:ascii="Century Gothic" w:hAnsi="Century Gothic"/>
          <w:b/>
          <w:color w:val="0070C0"/>
        </w:rPr>
        <w:t xml:space="preserve"> de Noviembre  del 2013</w:t>
      </w:r>
    </w:p>
    <w:p w:rsidR="00D749AD" w:rsidRDefault="00D749AD" w:rsidP="00D749AD">
      <w:pPr>
        <w:jc w:val="center"/>
        <w:rPr>
          <w:rFonts w:ascii="Century Gothic" w:hAnsi="Century Gothic"/>
          <w:b/>
          <w:color w:val="0070C0"/>
        </w:rPr>
      </w:pPr>
      <w:r>
        <w:rPr>
          <w:rFonts w:ascii="Century Gothic" w:hAnsi="Century Gothic"/>
          <w:b/>
          <w:color w:val="0070C0"/>
        </w:rPr>
        <w:t xml:space="preserve">Mtra. Yenitza del Rosario García Maciel </w:t>
      </w:r>
    </w:p>
    <w:p w:rsidR="00D749AD" w:rsidRDefault="00D749AD" w:rsidP="00D749AD">
      <w:pPr>
        <w:jc w:val="center"/>
        <w:rPr>
          <w:rFonts w:ascii="Century Gothic" w:hAnsi="Century Gothic"/>
          <w:b/>
          <w:color w:val="0070C0"/>
        </w:rPr>
      </w:pPr>
      <w:r>
        <w:rPr>
          <w:rFonts w:ascii="Century Gothic" w:hAnsi="Century Gothic"/>
          <w:b/>
          <w:color w:val="0070C0"/>
        </w:rPr>
        <w:t xml:space="preserve">Mtro. Daniel Díaz de Sandi Solórzano </w:t>
      </w:r>
    </w:p>
    <w:p w:rsidR="00D749AD" w:rsidRDefault="00D749AD" w:rsidP="00D749AD">
      <w:pPr>
        <w:jc w:val="center"/>
        <w:rPr>
          <w:rFonts w:ascii="Century Gothic" w:hAnsi="Century Gothic"/>
          <w:b/>
          <w:color w:val="FF0000"/>
        </w:rPr>
      </w:pPr>
    </w:p>
    <w:p w:rsidR="00D749AD" w:rsidRDefault="00D749AD" w:rsidP="00D749AD">
      <w:pPr>
        <w:jc w:val="center"/>
        <w:rPr>
          <w:rFonts w:ascii="Century Gothic" w:hAnsi="Century Gothic"/>
          <w:b/>
          <w:color w:val="FF0000"/>
        </w:rPr>
      </w:pPr>
    </w:p>
    <w:p w:rsidR="00D749AD" w:rsidRDefault="00D749AD" w:rsidP="00D749AD">
      <w:pPr>
        <w:jc w:val="both"/>
        <w:rPr>
          <w:rFonts w:ascii="Century Gothic" w:hAnsi="Century Gothic"/>
          <w:b/>
          <w:color w:val="FF0000"/>
        </w:rPr>
      </w:pPr>
    </w:p>
    <w:p w:rsidR="00D749AD" w:rsidRDefault="00D749AD" w:rsidP="00D749AD">
      <w:pPr>
        <w:jc w:val="both"/>
        <w:rPr>
          <w:rFonts w:ascii="Century Gothic" w:hAnsi="Century Gothic"/>
          <w:b/>
          <w:color w:val="FF0000"/>
        </w:rPr>
      </w:pPr>
    </w:p>
    <w:p w:rsidR="00D749AD" w:rsidRDefault="00D749AD" w:rsidP="00D749AD">
      <w:pPr>
        <w:jc w:val="both"/>
        <w:rPr>
          <w:rFonts w:ascii="Century Gothic" w:hAnsi="Century Gothic"/>
          <w:b/>
          <w:color w:val="FF0000"/>
        </w:rPr>
      </w:pPr>
    </w:p>
    <w:p w:rsidR="00D749AD" w:rsidRDefault="00D749AD" w:rsidP="00D749AD">
      <w:pPr>
        <w:jc w:val="both"/>
        <w:rPr>
          <w:rFonts w:ascii="Century Gothic" w:hAnsi="Century Gothic"/>
          <w:b/>
          <w:color w:val="FF0000"/>
        </w:rPr>
      </w:pPr>
    </w:p>
    <w:p w:rsidR="00A0510B" w:rsidRDefault="00A0510B" w:rsidP="00D749AD">
      <w:pPr>
        <w:jc w:val="both"/>
      </w:pPr>
    </w:p>
    <w:p w:rsidR="00A0510B" w:rsidRDefault="00A0510B" w:rsidP="00D749AD">
      <w:pPr>
        <w:jc w:val="both"/>
      </w:pPr>
    </w:p>
    <w:tbl>
      <w:tblPr>
        <w:tblStyle w:val="Tablaconcuadrcula"/>
        <w:tblW w:w="9322" w:type="dxa"/>
        <w:tblLook w:val="04A0"/>
      </w:tblPr>
      <w:tblGrid>
        <w:gridCol w:w="1951"/>
        <w:gridCol w:w="3544"/>
        <w:gridCol w:w="3827"/>
      </w:tblGrid>
      <w:tr w:rsidR="00D749AD" w:rsidRPr="00EA447D" w:rsidTr="003A279B">
        <w:tc>
          <w:tcPr>
            <w:tcW w:w="1951" w:type="dxa"/>
          </w:tcPr>
          <w:p w:rsidR="00D749AD" w:rsidRPr="00EA447D" w:rsidRDefault="00D749AD" w:rsidP="003A279B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EA447D">
              <w:rPr>
                <w:rFonts w:ascii="Century Gothic" w:hAnsi="Century Gothic"/>
                <w:b/>
                <w:color w:val="00B050"/>
              </w:rPr>
              <w:lastRenderedPageBreak/>
              <w:t>Campo formativo:</w:t>
            </w:r>
          </w:p>
          <w:p w:rsidR="00D749AD" w:rsidRPr="008F01C1" w:rsidRDefault="00D749AD" w:rsidP="003A279B">
            <w:pPr>
              <w:jc w:val="center"/>
              <w:rPr>
                <w:rFonts w:ascii="Century Gothic" w:hAnsi="Century Gothic"/>
                <w:color w:val="FF0000"/>
              </w:rPr>
            </w:pPr>
            <w:r w:rsidRPr="008F01C1">
              <w:rPr>
                <w:rFonts w:ascii="Century Gothic" w:hAnsi="Century Gothic"/>
                <w:color w:val="262626" w:themeColor="text1" w:themeTint="D9"/>
              </w:rPr>
              <w:t>Lenguaje y comunicación</w:t>
            </w:r>
          </w:p>
        </w:tc>
        <w:tc>
          <w:tcPr>
            <w:tcW w:w="3544" w:type="dxa"/>
          </w:tcPr>
          <w:p w:rsidR="00D749AD" w:rsidRPr="00EA447D" w:rsidRDefault="00D749AD" w:rsidP="003A279B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EA447D">
              <w:rPr>
                <w:rFonts w:ascii="Century Gothic" w:hAnsi="Century Gothic"/>
                <w:b/>
                <w:color w:val="00B050"/>
              </w:rPr>
              <w:t>Competencias que se favorecen:</w:t>
            </w:r>
          </w:p>
          <w:p w:rsidR="00D749AD" w:rsidRPr="00D749AD" w:rsidRDefault="00D749AD" w:rsidP="00D749A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D749AD">
              <w:rPr>
                <w:rFonts w:ascii="Century Gothic" w:hAnsi="Century Gothic" w:cs="Arial"/>
              </w:rPr>
              <w:t>Analiza los tipos de texto y su clasificación.</w:t>
            </w:r>
          </w:p>
          <w:p w:rsidR="00D749AD" w:rsidRDefault="00D749AD" w:rsidP="00D749A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D749AD">
              <w:rPr>
                <w:rFonts w:ascii="Century Gothic" w:hAnsi="Century Gothic" w:cs="Arial"/>
              </w:rPr>
              <w:t>Identifica la estructura y función comunicativa de los diferentes tipos de texto.</w:t>
            </w:r>
          </w:p>
          <w:p w:rsidR="00D749AD" w:rsidRDefault="00D749AD" w:rsidP="00D749A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D749AD">
              <w:rPr>
                <w:rFonts w:ascii="Century Gothic" w:hAnsi="Century Gothic" w:cs="Arial"/>
              </w:rPr>
              <w:t>Diseña estrategias para acercarse a los textos y comprenderlos.</w:t>
            </w:r>
          </w:p>
          <w:p w:rsidR="00D749AD" w:rsidRPr="00D749AD" w:rsidRDefault="00D749AD" w:rsidP="00D749A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Todas las competencias comunicativas</w:t>
            </w:r>
          </w:p>
        </w:tc>
        <w:tc>
          <w:tcPr>
            <w:tcW w:w="3827" w:type="dxa"/>
          </w:tcPr>
          <w:p w:rsidR="00D749AD" w:rsidRPr="00EA447D" w:rsidRDefault="00D749AD" w:rsidP="003A279B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EA447D">
              <w:rPr>
                <w:rFonts w:ascii="Century Gothic" w:hAnsi="Century Gothic"/>
                <w:b/>
                <w:color w:val="00B050"/>
              </w:rPr>
              <w:t>Fecha:</w:t>
            </w:r>
            <w:r w:rsidRPr="00EA447D">
              <w:rPr>
                <w:rFonts w:ascii="Century Gothic" w:hAnsi="Century Gothic"/>
                <w:b/>
                <w:color w:val="FF0000"/>
              </w:rPr>
              <w:t xml:space="preserve"> </w:t>
            </w:r>
            <w:r>
              <w:rPr>
                <w:rFonts w:ascii="Century Gothic" w:hAnsi="Century Gothic"/>
                <w:color w:val="262626" w:themeColor="text1" w:themeTint="D9"/>
              </w:rPr>
              <w:t>sábado  30 de Noviembre</w:t>
            </w:r>
            <w:r w:rsidRPr="008F01C1">
              <w:rPr>
                <w:rFonts w:ascii="Century Gothic" w:hAnsi="Century Gothic"/>
                <w:color w:val="262626" w:themeColor="text1" w:themeTint="D9"/>
              </w:rPr>
              <w:t xml:space="preserve"> del 2013</w:t>
            </w:r>
          </w:p>
        </w:tc>
      </w:tr>
      <w:tr w:rsidR="00D749AD" w:rsidRPr="00EA447D" w:rsidTr="003A279B">
        <w:tc>
          <w:tcPr>
            <w:tcW w:w="5495" w:type="dxa"/>
            <w:gridSpan w:val="2"/>
          </w:tcPr>
          <w:p w:rsidR="00D749AD" w:rsidRDefault="00D749AD" w:rsidP="003A279B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Prá</w:t>
            </w:r>
            <w:r w:rsidRPr="00EA447D">
              <w:rPr>
                <w:rFonts w:ascii="Century Gothic" w:hAnsi="Century Gothic"/>
                <w:b/>
                <w:color w:val="00B050"/>
              </w:rPr>
              <w:t xml:space="preserve">ctica social del lenguaje: </w:t>
            </w:r>
          </w:p>
          <w:p w:rsidR="00D749AD" w:rsidRPr="00EA447D" w:rsidRDefault="00D749AD" w:rsidP="003A279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De la oralidad a la escritura </w:t>
            </w:r>
          </w:p>
        </w:tc>
        <w:tc>
          <w:tcPr>
            <w:tcW w:w="3827" w:type="dxa"/>
          </w:tcPr>
          <w:p w:rsidR="00D749AD" w:rsidRPr="00EA447D" w:rsidRDefault="00D749AD" w:rsidP="003A279B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 w:rsidRPr="00EA447D">
              <w:rPr>
                <w:rFonts w:ascii="Century Gothic" w:hAnsi="Century Gothic"/>
                <w:b/>
                <w:color w:val="00B050"/>
              </w:rPr>
              <w:t xml:space="preserve">Ámbito: </w:t>
            </w:r>
            <w:r>
              <w:rPr>
                <w:rFonts w:ascii="Century Gothic" w:hAnsi="Century Gothic"/>
              </w:rPr>
              <w:t>L</w:t>
            </w:r>
            <w:r w:rsidRPr="008F01C1">
              <w:rPr>
                <w:rFonts w:ascii="Century Gothic" w:hAnsi="Century Gothic"/>
              </w:rPr>
              <w:t xml:space="preserve">iteratura </w:t>
            </w:r>
          </w:p>
        </w:tc>
      </w:tr>
      <w:tr w:rsidR="00D749AD" w:rsidRPr="00EA447D" w:rsidTr="003A279B">
        <w:tc>
          <w:tcPr>
            <w:tcW w:w="5495" w:type="dxa"/>
            <w:gridSpan w:val="2"/>
          </w:tcPr>
          <w:p w:rsidR="00D749AD" w:rsidRPr="00EA447D" w:rsidRDefault="00D749AD" w:rsidP="003A279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color w:val="FF0000"/>
              </w:rPr>
            </w:pPr>
            <w:r w:rsidRPr="00EA447D">
              <w:rPr>
                <w:rFonts w:ascii="Century Gothic" w:hAnsi="Century Gothic"/>
                <w:b/>
                <w:color w:val="00B050"/>
              </w:rPr>
              <w:t>Aprendizajes esperados:</w:t>
            </w:r>
            <w:r w:rsidRPr="00EA447D">
              <w:rPr>
                <w:rFonts w:ascii="Century Gothic" w:hAnsi="Century Gothic"/>
                <w:b/>
                <w:color w:val="FF0000"/>
              </w:rPr>
              <w:t xml:space="preserve"> </w:t>
            </w:r>
          </w:p>
          <w:p w:rsidR="00D749AD" w:rsidRPr="00D749AD" w:rsidRDefault="00D749AD" w:rsidP="00D749AD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D749AD">
              <w:rPr>
                <w:rFonts w:ascii="Century Gothic" w:hAnsi="Century Gothic" w:cs="Arial"/>
              </w:rPr>
              <w:t>Identificar las características lingüísticas de diversos tipos de texto y desarrollar estrategias de análisis textual para favorecer la comprensión lectora de textos expositivos.</w:t>
            </w:r>
          </w:p>
        </w:tc>
        <w:tc>
          <w:tcPr>
            <w:tcW w:w="3827" w:type="dxa"/>
          </w:tcPr>
          <w:p w:rsidR="00D749AD" w:rsidRPr="00EA447D" w:rsidRDefault="00D749AD" w:rsidP="003A279B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 w:rsidRPr="00EA447D">
              <w:rPr>
                <w:rFonts w:ascii="Century Gothic" w:hAnsi="Century Gothic"/>
                <w:b/>
                <w:color w:val="00B050"/>
              </w:rPr>
              <w:t>Reflexión de la lengua</w:t>
            </w:r>
          </w:p>
          <w:p w:rsidR="00D749AD" w:rsidRDefault="00A0510B" w:rsidP="003A279B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Investiga, selecciona y organiza información sobre un determinado tema</w:t>
            </w:r>
          </w:p>
          <w:p w:rsidR="00A0510B" w:rsidRPr="00EA447D" w:rsidRDefault="00A0510B" w:rsidP="003A279B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Recupera información de diferentes fuentes y emplearlas para desarrollar argumentos al redactar textos.</w:t>
            </w:r>
          </w:p>
        </w:tc>
      </w:tr>
      <w:tr w:rsidR="00D749AD" w:rsidRPr="00EA447D" w:rsidTr="003A279B">
        <w:tc>
          <w:tcPr>
            <w:tcW w:w="9322" w:type="dxa"/>
            <w:gridSpan w:val="3"/>
          </w:tcPr>
          <w:p w:rsidR="00D749AD" w:rsidRDefault="00D749AD" w:rsidP="00D749AD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EA447D">
              <w:rPr>
                <w:rFonts w:ascii="Century Gothic" w:hAnsi="Century Gothic"/>
                <w:b/>
                <w:color w:val="00B050"/>
              </w:rPr>
              <w:t xml:space="preserve">Situación didáctica: </w:t>
            </w:r>
            <w:r>
              <w:rPr>
                <w:rFonts w:ascii="Century Gothic" w:hAnsi="Century Gothic"/>
              </w:rPr>
              <w:t xml:space="preserve"> </w:t>
            </w:r>
          </w:p>
          <w:p w:rsidR="00D749AD" w:rsidRPr="00D749AD" w:rsidRDefault="00D749AD" w:rsidP="00D749AD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Cs/>
                <w:color w:val="535356"/>
                <w:sz w:val="24"/>
                <w:szCs w:val="24"/>
              </w:rPr>
            </w:pPr>
            <w:r w:rsidRPr="00D749AD">
              <w:rPr>
                <w:rFonts w:ascii="Cambria,Bold" w:hAnsi="Cambria,Bold" w:cs="Cambria,Bold"/>
                <w:bCs/>
                <w:color w:val="535356"/>
                <w:sz w:val="24"/>
                <w:szCs w:val="24"/>
              </w:rPr>
              <w:t>Funciones, tramas y análisis textua</w:t>
            </w:r>
            <w:r>
              <w:rPr>
                <w:rFonts w:ascii="Cambria,Bold" w:hAnsi="Cambria,Bold" w:cs="Cambria,Bold"/>
                <w:bCs/>
                <w:color w:val="535356"/>
                <w:sz w:val="24"/>
                <w:szCs w:val="24"/>
              </w:rPr>
              <w:t xml:space="preserve">l para facilitar la comprensión </w:t>
            </w:r>
            <w:r w:rsidRPr="00D749AD">
              <w:rPr>
                <w:rFonts w:ascii="Cambria,Bold" w:hAnsi="Cambria,Bold" w:cs="Cambria,Bold"/>
                <w:bCs/>
                <w:color w:val="535356"/>
                <w:sz w:val="24"/>
                <w:szCs w:val="24"/>
              </w:rPr>
              <w:t>lectora</w:t>
            </w:r>
          </w:p>
        </w:tc>
      </w:tr>
      <w:tr w:rsidR="00D749AD" w:rsidRPr="00EA447D" w:rsidTr="003A279B">
        <w:trPr>
          <w:trHeight w:val="547"/>
        </w:trPr>
        <w:tc>
          <w:tcPr>
            <w:tcW w:w="9322" w:type="dxa"/>
            <w:gridSpan w:val="3"/>
          </w:tcPr>
          <w:p w:rsidR="00D749AD" w:rsidRPr="00EA447D" w:rsidRDefault="00D749AD" w:rsidP="003A279B">
            <w:pPr>
              <w:jc w:val="both"/>
              <w:rPr>
                <w:rFonts w:ascii="Century Gothic" w:hAnsi="Century Gothic"/>
                <w:b/>
                <w:color w:val="00B050"/>
              </w:rPr>
            </w:pPr>
            <w:r w:rsidRPr="00EA447D">
              <w:rPr>
                <w:rFonts w:ascii="Century Gothic" w:hAnsi="Century Gothic"/>
                <w:b/>
                <w:color w:val="00B050"/>
              </w:rPr>
              <w:t>Obse</w:t>
            </w:r>
            <w:r>
              <w:rPr>
                <w:rFonts w:ascii="Century Gothic" w:hAnsi="Century Gothic"/>
                <w:b/>
                <w:color w:val="00B050"/>
              </w:rPr>
              <w:t>rvación del desarrollo de la prá</w:t>
            </w:r>
            <w:r w:rsidRPr="00EA447D">
              <w:rPr>
                <w:rFonts w:ascii="Century Gothic" w:hAnsi="Century Gothic"/>
                <w:b/>
                <w:color w:val="00B050"/>
              </w:rPr>
              <w:t xml:space="preserve">ctica  </w:t>
            </w:r>
          </w:p>
          <w:p w:rsidR="00D749AD" w:rsidRDefault="00585AC5" w:rsidP="003A279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Leímos</w:t>
            </w:r>
            <w:r w:rsidR="00D749AD">
              <w:rPr>
                <w:rFonts w:ascii="Century Gothic" w:hAnsi="Century Gothic" w:cs="Arial"/>
              </w:rPr>
              <w:t xml:space="preserve"> las instrucciones del que nos dio el asesor.  Como primer actividad  observamos el video </w:t>
            </w:r>
            <w:r w:rsidR="0012231D">
              <w:rPr>
                <w:rFonts w:ascii="Century Gothic" w:hAnsi="Century Gothic" w:cs="Arial"/>
              </w:rPr>
              <w:t xml:space="preserve">“compresión lectora” de Sonia Roda, </w:t>
            </w:r>
            <w:r>
              <w:rPr>
                <w:rFonts w:ascii="Century Gothic" w:hAnsi="Century Gothic" w:cs="Arial"/>
              </w:rPr>
              <w:t>nos dice que la compresión  lectora es examinar la información, que la memorización no forma parte de la compresión, está conformada por una actitud crítica,  ser capaz de exponerla y de reafirmar lo que leíste. Además nos menciona lo  siguiente:</w:t>
            </w:r>
          </w:p>
          <w:p w:rsidR="00585AC5" w:rsidRDefault="00585AC5" w:rsidP="003A279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  <w:p w:rsidR="00585AC5" w:rsidRDefault="004A4F2D" w:rsidP="003A279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Aspectos básicos  son </w:t>
            </w:r>
          </w:p>
          <w:p w:rsidR="004A4F2D" w:rsidRPr="004A4F2D" w:rsidRDefault="004A4F2D" w:rsidP="004A4F2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 w:rsidRPr="004A4F2D">
              <w:rPr>
                <w:rFonts w:ascii="Century Gothic" w:hAnsi="Century Gothic" w:cs="Arial"/>
              </w:rPr>
              <w:t xml:space="preserve">Interpretas </w:t>
            </w:r>
          </w:p>
          <w:p w:rsidR="004A4F2D" w:rsidRPr="004A4F2D" w:rsidRDefault="004A4F2D" w:rsidP="004A4F2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 w:rsidRPr="004A4F2D">
              <w:rPr>
                <w:rFonts w:ascii="Century Gothic" w:hAnsi="Century Gothic" w:cs="Arial"/>
              </w:rPr>
              <w:t xml:space="preserve">Retienes  </w:t>
            </w:r>
          </w:p>
          <w:p w:rsidR="004A4F2D" w:rsidRPr="004A4F2D" w:rsidRDefault="004A4F2D" w:rsidP="004A4F2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 w:rsidRPr="004A4F2D">
              <w:rPr>
                <w:rFonts w:ascii="Century Gothic" w:hAnsi="Century Gothic" w:cs="Arial"/>
              </w:rPr>
              <w:t xml:space="preserve">Organizas la información </w:t>
            </w:r>
          </w:p>
          <w:p w:rsidR="004A4F2D" w:rsidRPr="004A4F2D" w:rsidRDefault="004A4F2D" w:rsidP="004A4F2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 w:rsidRPr="004A4F2D">
              <w:rPr>
                <w:rFonts w:ascii="Century Gothic" w:hAnsi="Century Gothic" w:cs="Arial"/>
              </w:rPr>
              <w:t xml:space="preserve">Valoras lo verdadero, falso o lo imaginativo </w:t>
            </w:r>
          </w:p>
          <w:p w:rsidR="004A4F2D" w:rsidRDefault="004A4F2D" w:rsidP="003A279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Técnicas </w:t>
            </w:r>
          </w:p>
          <w:p w:rsidR="004A4F2D" w:rsidRDefault="004A4F2D" w:rsidP="004A4F2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Lectura rápida</w:t>
            </w:r>
          </w:p>
          <w:p w:rsidR="004A4F2D" w:rsidRDefault="004A4F2D" w:rsidP="004A4F2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Lectura comprensiva</w:t>
            </w:r>
          </w:p>
          <w:p w:rsidR="004A4F2D" w:rsidRPr="000A46DD" w:rsidRDefault="004A4F2D" w:rsidP="000A46D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Subrayado</w:t>
            </w:r>
          </w:p>
          <w:p w:rsidR="004A4F2D" w:rsidRDefault="004A4F2D" w:rsidP="004A4F2D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  <w:p w:rsidR="004A4F2D" w:rsidRDefault="004A4F2D" w:rsidP="004A4F2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Todas</w:t>
            </w:r>
            <w:r w:rsidR="000A46DD">
              <w:rPr>
                <w:rFonts w:ascii="Century Gothic" w:hAnsi="Century Gothic" w:cs="Arial"/>
              </w:rPr>
              <w:t xml:space="preserve"> las anteriores </w:t>
            </w:r>
            <w:r>
              <w:rPr>
                <w:rFonts w:ascii="Century Gothic" w:hAnsi="Century Gothic" w:cs="Arial"/>
              </w:rPr>
              <w:t xml:space="preserve"> ayudan a adquirir un conocimiento real (metacognición)</w:t>
            </w:r>
          </w:p>
          <w:p w:rsidR="004A4F2D" w:rsidRDefault="004A4F2D" w:rsidP="004A4F2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  <w:p w:rsidR="004A4F2D" w:rsidRPr="004A4F2D" w:rsidRDefault="000A46DD" w:rsidP="004A4F2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Al revisar las diapositivas “estrategias de la compresión lectora” nos pudimos percatar de que tenemos la mala costumbre de echar culpa a otros, cuando somos parte de que los  alumnos no desarrollen la habilidad de la comprensión. Y que la solución </w:t>
            </w:r>
            <w:r w:rsidR="00A80CFE">
              <w:rPr>
                <w:rFonts w:ascii="Century Gothic" w:hAnsi="Century Gothic" w:cs="Arial"/>
              </w:rPr>
              <w:t>está</w:t>
            </w:r>
            <w:r>
              <w:rPr>
                <w:rFonts w:ascii="Century Gothic" w:hAnsi="Century Gothic" w:cs="Arial"/>
              </w:rPr>
              <w:t xml:space="preserve"> en nuestras manos. Los alumnos deben ser estimulados mediante diversas estrategias y  lograr que opinen de una manera </w:t>
            </w:r>
            <w:r w:rsidR="00A80CFE">
              <w:rPr>
                <w:rFonts w:ascii="Century Gothic" w:hAnsi="Century Gothic" w:cs="Arial"/>
              </w:rPr>
              <w:t>crítica</w:t>
            </w:r>
            <w:r>
              <w:rPr>
                <w:rFonts w:ascii="Century Gothic" w:hAnsi="Century Gothic" w:cs="Arial"/>
              </w:rPr>
              <w:t xml:space="preserve">. Nos dice que la compresión lectora es un proceso  cognitivo en el que el niño construye nuevos conocimientos y de manera activa. Que para lograr lo anterior  el maestro debe 1) Diseñar estrategias en el que seleccione el texto  con el tema a desarrollar, </w:t>
            </w:r>
            <w:r>
              <w:rPr>
                <w:rFonts w:ascii="Century Gothic" w:hAnsi="Century Gothic" w:cs="Arial"/>
              </w:rPr>
              <w:lastRenderedPageBreak/>
              <w:t xml:space="preserve">identificando objetivos y usar una disciplina adecuada para guíalos. 2) </w:t>
            </w:r>
            <w:r w:rsidR="00A80CFE">
              <w:rPr>
                <w:rFonts w:ascii="Century Gothic" w:hAnsi="Century Gothic" w:cs="Arial"/>
              </w:rPr>
              <w:t xml:space="preserve">Preparar la lectura en el que conozcamos la lectura, el tipo de texto y sus características, 3) Desarrollar actividades  para el alumno (conocimientos previos, asignación de tareas, S.Q.A. etc.) y por último la evaluación en el que se tiene que evaluar todo el proceso de las actividades. </w:t>
            </w:r>
          </w:p>
          <w:p w:rsidR="00585AC5" w:rsidRDefault="00585AC5" w:rsidP="003A279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  <w:p w:rsidR="00A0510B" w:rsidRDefault="00A0510B" w:rsidP="003A279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Al término de lo analizado compartimos el material con los equipos. </w:t>
            </w:r>
          </w:p>
          <w:p w:rsidR="00A0510B" w:rsidRPr="00714E35" w:rsidRDefault="00A0510B" w:rsidP="003A279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</w:tr>
    </w:tbl>
    <w:p w:rsidR="00D749AD" w:rsidRDefault="00D749AD" w:rsidP="00D749AD">
      <w:pPr>
        <w:jc w:val="both"/>
      </w:pPr>
    </w:p>
    <w:p w:rsidR="00D749AD" w:rsidRDefault="00D749AD" w:rsidP="00D749AD"/>
    <w:p w:rsidR="003A279B" w:rsidRDefault="003A279B"/>
    <w:sectPr w:rsidR="003A279B" w:rsidSect="003A2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67CB"/>
    <w:multiLevelType w:val="hybridMultilevel"/>
    <w:tmpl w:val="49B28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A0C44"/>
    <w:multiLevelType w:val="hybridMultilevel"/>
    <w:tmpl w:val="84E24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75456"/>
    <w:multiLevelType w:val="hybridMultilevel"/>
    <w:tmpl w:val="5ACEF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40F01"/>
    <w:multiLevelType w:val="hybridMultilevel"/>
    <w:tmpl w:val="93BE6C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DA4ECB"/>
    <w:multiLevelType w:val="hybridMultilevel"/>
    <w:tmpl w:val="17E875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749AD"/>
    <w:rsid w:val="000A46DD"/>
    <w:rsid w:val="0012231D"/>
    <w:rsid w:val="003A279B"/>
    <w:rsid w:val="004A4F2D"/>
    <w:rsid w:val="00585AC5"/>
    <w:rsid w:val="00A0510B"/>
    <w:rsid w:val="00A80CFE"/>
    <w:rsid w:val="00D7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4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49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3</cp:revision>
  <dcterms:created xsi:type="dcterms:W3CDTF">2013-11-30T15:06:00Z</dcterms:created>
  <dcterms:modified xsi:type="dcterms:W3CDTF">2013-11-30T17:56:00Z</dcterms:modified>
</cp:coreProperties>
</file>